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W w:w="1509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855"/>
        <w:gridCol w:w="1497"/>
        <w:gridCol w:w="7503"/>
        <w:gridCol w:w="1260"/>
        <w:gridCol w:w="2685"/>
        <w:gridCol w:w="12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69" w:hRule="atLeast"/>
        </w:trPr>
        <w:tc>
          <w:tcPr>
            <w:tcW w:w="2352" w:type="dxa"/>
            <w:gridSpan w:val="2"/>
            <w:tcBorders>
              <w:top w:val="nil"/>
              <w:left w:val="nil"/>
              <w:bottom w:val="nil"/>
              <w:right w:val="nil"/>
            </w:tcBorders>
            <w:shd w:val="clear"/>
            <w:vAlign w:val="center"/>
          </w:tcPr>
          <w:p>
            <w:pPr>
              <w:keepNext w:val="0"/>
              <w:keepLines w:val="0"/>
              <w:pageBreakBefore w:val="0"/>
              <w:widowControl/>
              <w:kinsoku/>
              <w:wordWrap/>
              <w:overflowPunct/>
              <w:topLinePunct w:val="0"/>
              <w:autoSpaceDE/>
              <w:autoSpaceDN/>
              <w:bidi w:val="0"/>
              <w:adjustRightInd/>
              <w:snapToGrid/>
              <w:spacing w:line="320" w:lineRule="exact"/>
              <w:jc w:val="left"/>
              <w:rPr>
                <w:rFonts w:hint="eastAsia" w:ascii="宋体" w:hAnsi="宋体" w:eastAsia="宋体" w:cs="宋体"/>
                <w:i w:val="0"/>
                <w:iCs w:val="0"/>
                <w:color w:val="000000"/>
                <w:sz w:val="22"/>
                <w:szCs w:val="22"/>
                <w:u w:val="none"/>
              </w:rPr>
            </w:pPr>
            <w:r>
              <w:rPr>
                <w:rFonts w:hint="eastAsia" w:ascii="黑体" w:hAnsi="宋体" w:eastAsia="黑体" w:cs="黑体"/>
                <w:i w:val="0"/>
                <w:iCs w:val="0"/>
                <w:color w:val="000000"/>
                <w:kern w:val="0"/>
                <w:sz w:val="32"/>
                <w:szCs w:val="32"/>
                <w:u w:val="none"/>
                <w:bdr w:val="none" w:color="auto" w:sz="0" w:space="0"/>
                <w:lang w:val="en-US" w:eastAsia="zh-CN" w:bidi="ar"/>
              </w:rPr>
              <w:t>附件1</w:t>
            </w:r>
          </w:p>
        </w:tc>
        <w:tc>
          <w:tcPr>
            <w:tcW w:w="7503" w:type="dxa"/>
            <w:tcBorders>
              <w:top w:val="nil"/>
              <w:left w:val="nil"/>
              <w:bottom w:val="nil"/>
              <w:right w:val="nil"/>
            </w:tcBorders>
            <w:shd w:val="clear"/>
            <w:noWrap/>
            <w:vAlign w:val="center"/>
          </w:tcPr>
          <w:p>
            <w:pPr>
              <w:keepNext w:val="0"/>
              <w:keepLines w:val="0"/>
              <w:pageBreakBefore w:val="0"/>
              <w:widowControl/>
              <w:kinsoku/>
              <w:wordWrap/>
              <w:overflowPunct/>
              <w:topLinePunct w:val="0"/>
              <w:autoSpaceDE/>
              <w:autoSpaceDN/>
              <w:bidi w:val="0"/>
              <w:adjustRightInd/>
              <w:snapToGrid/>
              <w:spacing w:line="320" w:lineRule="exact"/>
              <w:jc w:val="left"/>
              <w:rPr>
                <w:rFonts w:hint="eastAsia" w:ascii="宋体" w:hAnsi="宋体" w:eastAsia="宋体" w:cs="宋体"/>
                <w:i w:val="0"/>
                <w:iCs w:val="0"/>
                <w:color w:val="000000"/>
                <w:sz w:val="22"/>
                <w:szCs w:val="22"/>
                <w:u w:val="none"/>
              </w:rPr>
            </w:pPr>
          </w:p>
        </w:tc>
        <w:tc>
          <w:tcPr>
            <w:tcW w:w="1260" w:type="dxa"/>
            <w:tcBorders>
              <w:top w:val="nil"/>
              <w:left w:val="nil"/>
              <w:bottom w:val="nil"/>
              <w:right w:val="nil"/>
            </w:tcBorders>
            <w:shd w:val="clear"/>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c>
          <w:tcPr>
            <w:tcW w:w="2685" w:type="dxa"/>
            <w:tcBorders>
              <w:top w:val="nil"/>
              <w:left w:val="nil"/>
              <w:bottom w:val="nil"/>
              <w:right w:val="nil"/>
            </w:tcBorders>
            <w:shd w:val="clear"/>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c>
          <w:tcPr>
            <w:tcW w:w="1290" w:type="dxa"/>
            <w:tcBorders>
              <w:top w:val="nil"/>
              <w:left w:val="nil"/>
              <w:bottom w:val="nil"/>
              <w:right w:val="nil"/>
            </w:tcBorders>
            <w:shd w:val="clear"/>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9" w:hRule="atLeast"/>
        </w:trPr>
        <w:tc>
          <w:tcPr>
            <w:tcW w:w="15090" w:type="dxa"/>
            <w:gridSpan w:val="6"/>
            <w:tcBorders>
              <w:top w:val="nil"/>
              <w:left w:val="nil"/>
              <w:bottom w:val="nil"/>
              <w:right w:val="nil"/>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center"/>
              <w:rPr>
                <w:rFonts w:ascii="方正小标宋简体" w:hAnsi="方正小标宋简体" w:eastAsia="方正小标宋简体" w:cs="方正小标宋简体"/>
                <w:i w:val="0"/>
                <w:iCs w:val="0"/>
                <w:color w:val="000000"/>
                <w:sz w:val="32"/>
                <w:szCs w:val="32"/>
                <w:u w:val="none"/>
              </w:rPr>
            </w:pPr>
            <w:r>
              <w:rPr>
                <w:rFonts w:hint="eastAsia" w:ascii="方正小标宋简体" w:hAnsi="方正小标宋简体" w:eastAsia="方正小标宋简体" w:cs="方正小标宋简体"/>
                <w:i w:val="0"/>
                <w:iCs w:val="0"/>
                <w:color w:val="000000"/>
                <w:sz w:val="32"/>
                <w:szCs w:val="32"/>
                <w:u w:val="none"/>
              </w:rPr>
              <w:t>2022年度威海市中医药科技项目拟立项名单（有资项目）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8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项目等级</w:t>
            </w: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项目编号</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项目名称</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申报类别</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项目单位</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负责人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70" w:hRule="atLeast"/>
        </w:trPr>
        <w:tc>
          <w:tcPr>
            <w:tcW w:w="85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一类项目（4个）</w:t>
            </w: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Ⅰ</w:t>
            </w:r>
            <w:r>
              <w:rPr>
                <w:rStyle w:val="6"/>
                <w:bdr w:val="none" w:color="auto" w:sz="0" w:space="0"/>
                <w:lang w:val="en-US" w:eastAsia="zh-CN" w:bidi="ar"/>
              </w:rPr>
              <w:t>-1</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基于“活血利水”法应用中药外敷治疗初次全膝关节置换术后肿痛的临床研究</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山东省文登整骨医院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李磊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Ⅰ</w:t>
            </w:r>
            <w:r>
              <w:rPr>
                <w:rStyle w:val="6"/>
                <w:bdr w:val="none" w:color="auto" w:sz="0" w:space="0"/>
                <w:lang w:val="en-US" w:eastAsia="zh-CN" w:bidi="ar"/>
              </w:rPr>
              <w:t>-2</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益肾逐瘀方配合穴位贴敷治疗中期糖尿病肾病的临床研究</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威海市中医院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童宁宁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Ⅰ</w:t>
            </w:r>
            <w:r>
              <w:rPr>
                <w:rStyle w:val="6"/>
                <w:bdr w:val="none" w:color="auto" w:sz="0" w:space="0"/>
                <w:lang w:val="en-US" w:eastAsia="zh-CN" w:bidi="ar"/>
              </w:rPr>
              <w:t>-3</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隔药饼脐灸治疗肛肠病术后常见并发症的临床疗效观察</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威海市中医院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韩冰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5" w:hRule="atLeast"/>
        </w:trPr>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Ⅰ</w:t>
            </w:r>
            <w:r>
              <w:rPr>
                <w:rStyle w:val="6"/>
                <w:bdr w:val="none" w:color="auto" w:sz="0" w:space="0"/>
                <w:lang w:val="en-US" w:eastAsia="zh-CN" w:bidi="ar"/>
              </w:rPr>
              <w:t>-4</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道地药材西洋参生津产品开发及质量标准研究</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山东药品食品职业学院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贾俊芳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5" w:hRule="atLeast"/>
        </w:trPr>
        <w:tc>
          <w:tcPr>
            <w:tcW w:w="85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二类项目（6个）</w:t>
            </w: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Ⅱ</w:t>
            </w:r>
            <w:r>
              <w:rPr>
                <w:rStyle w:val="6"/>
                <w:bdr w:val="none" w:color="auto" w:sz="0" w:space="0"/>
                <w:lang w:val="en-US" w:eastAsia="zh-CN" w:bidi="ar"/>
              </w:rPr>
              <w:t>-5</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药食同源老年腹泻防治盐枣汤现代剂型的开发</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山东药品食品职业学院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王梅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70" w:hRule="atLeast"/>
        </w:trPr>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Ⅱ</w:t>
            </w:r>
            <w:r>
              <w:rPr>
                <w:rStyle w:val="6"/>
                <w:bdr w:val="none" w:color="auto" w:sz="0" w:space="0"/>
                <w:lang w:val="en-US" w:eastAsia="zh-CN" w:bidi="ar"/>
              </w:rPr>
              <w:t>-6</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红芎通脉颗粒治疗冠心病的作用机制初探</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山东省文登整骨医院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牟绍霞</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Ⅱ</w:t>
            </w:r>
            <w:r>
              <w:rPr>
                <w:rStyle w:val="6"/>
                <w:bdr w:val="none" w:color="auto" w:sz="0" w:space="0"/>
                <w:lang w:val="en-US" w:eastAsia="zh-CN" w:bidi="ar"/>
              </w:rPr>
              <w:t>-7</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华佗夹脊盘龙刺结合太极桩功对亚健康态失眠患者的疗效影响</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威海市立医院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于明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Ⅱ</w:t>
            </w:r>
            <w:r>
              <w:rPr>
                <w:rStyle w:val="6"/>
                <w:bdr w:val="none" w:color="auto" w:sz="0" w:space="0"/>
                <w:lang w:val="en-US" w:eastAsia="zh-CN" w:bidi="ar"/>
              </w:rPr>
              <w:t>-8</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腕踝针在泌尿系结石肾绞痛患者中应用效果的护理研究</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威海市中医院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许春苗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95" w:hRule="atLeast"/>
        </w:trPr>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Ⅱ</w:t>
            </w:r>
            <w:r>
              <w:rPr>
                <w:rStyle w:val="6"/>
                <w:bdr w:val="none" w:color="auto" w:sz="0" w:space="0"/>
                <w:lang w:val="en-US" w:eastAsia="zh-CN" w:bidi="ar"/>
              </w:rPr>
              <w:t>-9</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冲击波配合动态拨筋手法治疗膝关节骨性关节炎的临床疗效观察</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荣成市中医院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刘玉峰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Ⅱ</w:t>
            </w:r>
            <w:r>
              <w:rPr>
                <w:rStyle w:val="6"/>
                <w:bdr w:val="none" w:color="auto" w:sz="0" w:space="0"/>
                <w:lang w:val="en-US" w:eastAsia="zh-CN" w:bidi="ar"/>
              </w:rPr>
              <w:t>-10</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健胃消炎方联合四联疗法根除幽门螺杆菌的临床研究</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乳山市中医院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陈艳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85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三类项目（10个）</w:t>
            </w: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Ⅲ</w:t>
            </w:r>
            <w:r>
              <w:rPr>
                <w:rStyle w:val="6"/>
                <w:bdr w:val="none" w:color="auto" w:sz="0" w:space="0"/>
                <w:lang w:val="en-US" w:eastAsia="zh-CN" w:bidi="ar"/>
              </w:rPr>
              <w:t>-11</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中医综合治疗肝热证妊娠剧吐的临床疗效观察</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威海市妇幼保健院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徐亚男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Ⅲ</w:t>
            </w:r>
            <w:r>
              <w:rPr>
                <w:rStyle w:val="6"/>
                <w:bdr w:val="none" w:color="auto" w:sz="0" w:space="0"/>
                <w:lang w:val="en-US" w:eastAsia="zh-CN" w:bidi="ar"/>
              </w:rPr>
              <w:t>-12</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揿针配合穴位贴敷治疗小儿食积型便秘的临床研究</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乳山市中医院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徐媛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Ⅲ</w:t>
            </w:r>
            <w:r>
              <w:rPr>
                <w:rStyle w:val="6"/>
                <w:bdr w:val="none" w:color="auto" w:sz="0" w:space="0"/>
                <w:lang w:val="en-US" w:eastAsia="zh-CN" w:bidi="ar"/>
              </w:rPr>
              <w:t>-13</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姜春状教授治疗肺结节学术思想与临床经验总结</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重点项目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威海市中医院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姜春状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5" w:hRule="atLeast"/>
        </w:trPr>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Ⅲ</w:t>
            </w:r>
            <w:r>
              <w:rPr>
                <w:rStyle w:val="6"/>
                <w:bdr w:val="none" w:color="auto" w:sz="0" w:space="0"/>
                <w:lang w:val="en-US" w:eastAsia="zh-CN" w:bidi="ar"/>
              </w:rPr>
              <w:t>-14</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清宣解毒益元汤辅助治疗恶性血液病化疗后粒缺伴发热的临床研究</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重点项目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威海市立医院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邓秀芝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5" w:hRule="atLeast"/>
        </w:trPr>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Ⅲ</w:t>
            </w:r>
            <w:r>
              <w:rPr>
                <w:rStyle w:val="6"/>
                <w:bdr w:val="none" w:color="auto" w:sz="0" w:space="0"/>
                <w:lang w:val="en-US" w:eastAsia="zh-CN" w:bidi="ar"/>
              </w:rPr>
              <w:t>-15</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自拟方抗骨质疏松颗粒治疗PVP术后OVCF患者的临床研究</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山东省文登整骨医院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张廷伟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Ⅲ</w:t>
            </w:r>
            <w:r>
              <w:rPr>
                <w:rStyle w:val="6"/>
                <w:bdr w:val="none" w:color="auto" w:sz="0" w:space="0"/>
                <w:lang w:val="en-US" w:eastAsia="zh-CN" w:bidi="ar"/>
              </w:rPr>
              <w:t>-16</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疏风通窍、宣肺化痰法干预慢性咳嗽之风痰恋肺证的临床疗效观察</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威海市中医院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赵旭东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Ⅲ</w:t>
            </w:r>
            <w:r>
              <w:rPr>
                <w:rStyle w:val="6"/>
                <w:bdr w:val="none" w:color="auto" w:sz="0" w:space="0"/>
                <w:lang w:val="en-US" w:eastAsia="zh-CN" w:bidi="ar"/>
              </w:rPr>
              <w:t>-17</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灵龟八法结合镜像疗法治疗卒中后偏身感觉障碍的疗效观察</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威海市中医院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戴晓辉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Ⅲ</w:t>
            </w:r>
            <w:r>
              <w:rPr>
                <w:rStyle w:val="6"/>
                <w:bdr w:val="none" w:color="auto" w:sz="0" w:space="0"/>
                <w:lang w:val="en-US" w:eastAsia="zh-CN" w:bidi="ar"/>
              </w:rPr>
              <w:t>-18</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耳尖放血疗法配合散偏汤加减治疗偏头痛</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威海市中医院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罗晓明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Ⅲ</w:t>
            </w:r>
            <w:r>
              <w:rPr>
                <w:rStyle w:val="6"/>
                <w:bdr w:val="none" w:color="auto" w:sz="0" w:space="0"/>
                <w:lang w:val="en-US" w:eastAsia="zh-CN" w:bidi="ar"/>
              </w:rPr>
              <w:t>-19</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中医药一体化疗法预防溃疡性结肠炎复发</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威海市中医院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朱伟宁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trPr>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c>
          <w:tcPr>
            <w:tcW w:w="1497"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w:t>
            </w:r>
            <w:r>
              <w:rPr>
                <w:rStyle w:val="5"/>
                <w:bdr w:val="none" w:color="auto" w:sz="0" w:space="0"/>
                <w:lang w:val="en-US" w:eastAsia="zh-CN" w:bidi="ar"/>
              </w:rPr>
              <w:t>Ⅲ</w:t>
            </w:r>
            <w:r>
              <w:rPr>
                <w:rStyle w:val="6"/>
                <w:bdr w:val="none" w:color="auto" w:sz="0" w:space="0"/>
                <w:lang w:val="en-US" w:eastAsia="zh-CN" w:bidi="ar"/>
              </w:rPr>
              <w:t>-20</w:t>
            </w:r>
          </w:p>
        </w:tc>
        <w:tc>
          <w:tcPr>
            <w:tcW w:w="750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 xml:space="preserve">古法针刺温针技术结合中药外治法治疗骨痹病  </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环翠区张村镇卫生院</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李奇</w:t>
            </w:r>
          </w:p>
        </w:tc>
      </w:tr>
    </w:tbl>
    <w:p/>
    <w:p/>
    <w:p/>
    <w:tbl>
      <w:tblPr>
        <w:tblW w:w="151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440"/>
        <w:gridCol w:w="8340"/>
        <w:gridCol w:w="1200"/>
        <w:gridCol w:w="2655"/>
        <w:gridCol w:w="14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04" w:hRule="atLeast"/>
        </w:trPr>
        <w:tc>
          <w:tcPr>
            <w:tcW w:w="1440" w:type="dxa"/>
            <w:tcBorders>
              <w:top w:val="nil"/>
              <w:left w:val="nil"/>
              <w:bottom w:val="nil"/>
              <w:right w:val="nil"/>
            </w:tcBorders>
            <w:shd w:val="clear"/>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ascii="黑体" w:hAnsi="宋体" w:eastAsia="黑体" w:cs="黑体"/>
                <w:i w:val="0"/>
                <w:iCs w:val="0"/>
                <w:color w:val="000000"/>
                <w:sz w:val="32"/>
                <w:szCs w:val="32"/>
                <w:u w:val="none"/>
              </w:rPr>
            </w:pPr>
            <w:r>
              <w:rPr>
                <w:rFonts w:hint="eastAsia" w:ascii="黑体" w:hAnsi="宋体" w:eastAsia="黑体" w:cs="黑体"/>
                <w:i w:val="0"/>
                <w:iCs w:val="0"/>
                <w:color w:val="000000"/>
                <w:kern w:val="0"/>
                <w:sz w:val="32"/>
                <w:szCs w:val="32"/>
                <w:u w:val="none"/>
                <w:bdr w:val="none" w:color="auto" w:sz="0" w:space="0"/>
                <w:lang w:val="en-US" w:eastAsia="zh-CN" w:bidi="ar"/>
              </w:rPr>
              <w:t>附件2</w:t>
            </w:r>
          </w:p>
        </w:tc>
        <w:tc>
          <w:tcPr>
            <w:tcW w:w="8340" w:type="dxa"/>
            <w:tcBorders>
              <w:top w:val="nil"/>
              <w:left w:val="nil"/>
              <w:bottom w:val="nil"/>
              <w:right w:val="nil"/>
            </w:tcBorders>
            <w:shd w:val="clear"/>
            <w:noWrap/>
            <w:vAlign w:val="center"/>
          </w:tcPr>
          <w:p>
            <w:pPr>
              <w:keepNext w:val="0"/>
              <w:keepLines w:val="0"/>
              <w:pageBreakBefore w:val="0"/>
              <w:widowControl/>
              <w:kinsoku/>
              <w:wordWrap/>
              <w:overflowPunct/>
              <w:topLinePunct w:val="0"/>
              <w:autoSpaceDE/>
              <w:autoSpaceDN/>
              <w:bidi w:val="0"/>
              <w:adjustRightInd/>
              <w:snapToGrid/>
              <w:spacing w:line="320" w:lineRule="exact"/>
              <w:rPr>
                <w:rFonts w:hint="eastAsia" w:ascii="宋体" w:hAnsi="宋体" w:eastAsia="宋体" w:cs="宋体"/>
                <w:i w:val="0"/>
                <w:iCs w:val="0"/>
                <w:color w:val="000000"/>
                <w:sz w:val="32"/>
                <w:szCs w:val="32"/>
                <w:u w:val="none"/>
              </w:rPr>
            </w:pPr>
          </w:p>
        </w:tc>
        <w:tc>
          <w:tcPr>
            <w:tcW w:w="1200" w:type="dxa"/>
            <w:tcBorders>
              <w:top w:val="nil"/>
              <w:left w:val="nil"/>
              <w:bottom w:val="nil"/>
              <w:right w:val="nil"/>
            </w:tcBorders>
            <w:shd w:val="clear"/>
            <w:noWrap/>
            <w:vAlign w:val="center"/>
          </w:tcPr>
          <w:p>
            <w:pPr>
              <w:keepNext w:val="0"/>
              <w:keepLines w:val="0"/>
              <w:pageBreakBefore w:val="0"/>
              <w:widowControl/>
              <w:kinsoku/>
              <w:wordWrap/>
              <w:overflowPunct/>
              <w:topLinePunct w:val="0"/>
              <w:autoSpaceDE/>
              <w:autoSpaceDN/>
              <w:bidi w:val="0"/>
              <w:adjustRightInd/>
              <w:snapToGrid/>
              <w:spacing w:line="320" w:lineRule="exact"/>
              <w:rPr>
                <w:rFonts w:hint="eastAsia" w:ascii="宋体" w:hAnsi="宋体" w:eastAsia="宋体" w:cs="宋体"/>
                <w:i w:val="0"/>
                <w:iCs w:val="0"/>
                <w:color w:val="000000"/>
                <w:sz w:val="32"/>
                <w:szCs w:val="32"/>
                <w:u w:val="none"/>
              </w:rPr>
            </w:pPr>
          </w:p>
        </w:tc>
        <w:tc>
          <w:tcPr>
            <w:tcW w:w="2655" w:type="dxa"/>
            <w:tcBorders>
              <w:top w:val="nil"/>
              <w:left w:val="nil"/>
              <w:bottom w:val="nil"/>
              <w:right w:val="nil"/>
            </w:tcBorders>
            <w:shd w:val="clear"/>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32"/>
                <w:szCs w:val="32"/>
                <w:u w:val="none"/>
              </w:rPr>
            </w:pPr>
          </w:p>
        </w:tc>
        <w:tc>
          <w:tcPr>
            <w:tcW w:w="1485" w:type="dxa"/>
            <w:tcBorders>
              <w:top w:val="nil"/>
              <w:left w:val="nil"/>
              <w:bottom w:val="nil"/>
              <w:right w:val="nil"/>
            </w:tcBorders>
            <w:shd w:val="clear"/>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0" w:type="auto"/>
            <w:gridSpan w:val="5"/>
            <w:tcBorders>
              <w:top w:val="nil"/>
              <w:left w:val="nil"/>
              <w:bottom w:val="nil"/>
              <w:right w:val="nil"/>
            </w:tcBorders>
            <w:shd w:val="clear"/>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ascii="方正小标宋简体" w:hAnsi="方正小标宋简体" w:eastAsia="方正小标宋简体" w:cs="方正小标宋简体"/>
                <w:i w:val="0"/>
                <w:iCs w:val="0"/>
                <w:color w:val="000000"/>
                <w:sz w:val="32"/>
                <w:szCs w:val="32"/>
                <w:u w:val="none"/>
              </w:rPr>
            </w:pPr>
            <w:r>
              <w:rPr>
                <w:rFonts w:hint="eastAsia" w:ascii="方正小标宋简体" w:hAnsi="方正小标宋简体" w:eastAsia="方正小标宋简体" w:cs="方正小标宋简体"/>
                <w:i w:val="0"/>
                <w:iCs w:val="0"/>
                <w:color w:val="000000"/>
                <w:sz w:val="32"/>
                <w:szCs w:val="32"/>
                <w:u w:val="none"/>
              </w:rPr>
              <w:t>2022年度威海市中医药科技项目拟立项名单</w:t>
            </w:r>
            <w:bookmarkStart w:id="0" w:name="_GoBack"/>
            <w:bookmarkEnd w:id="0"/>
            <w:r>
              <w:rPr>
                <w:rFonts w:hint="eastAsia" w:ascii="方正小标宋简体" w:hAnsi="方正小标宋简体" w:eastAsia="方正小标宋简体" w:cs="方正小标宋简体"/>
                <w:i w:val="0"/>
                <w:iCs w:val="0"/>
                <w:color w:val="000000"/>
                <w:kern w:val="0"/>
                <w:sz w:val="32"/>
                <w:szCs w:val="32"/>
                <w:u w:val="none"/>
                <w:bdr w:val="none" w:color="auto" w:sz="0" w:space="0"/>
                <w:lang w:val="en-US" w:eastAsia="zh-CN" w:bidi="ar"/>
              </w:rPr>
              <w:t>（无资项目）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4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项目编号</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项目名称</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申报类别</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项目单位</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负责人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2022N-01</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基于增材制造技术的定制化中药片剂成型工艺及其关键装置研究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山东药品食品职业学院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刘威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2022N-02</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升提灸结合推拿、电刺激治疗产后盆底功能障碍性疾病的研究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荣成市妇幼保健院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于丽萍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2022N-03</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导眠散治疗虚证失眠的临床研究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威海市中医院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吕娟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2022N-04</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败酱草的质量标准研究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威海市中医院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王瑛兰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2022N-05</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补阳还五汤联合针灸治疗糖尿病周围神经病变的临床观察</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威海市中医院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毕晓娟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2022N-06</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温针灸预防老年卧床患者下肢静脉血栓的临床研究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威海卫人民医院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曲兵兵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2022N-07</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“中药绿色抗生素”的筛选</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山东药品食品职业学院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张修梅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2022N-08</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西洋参发酵乳制品的研究与开发</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山东药品食品职业学院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耿国平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2022N-09</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一款智能中药热敷机设计与研究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山东药品食品职业学院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曲怡蓉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2022N-10</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淫羊藿苷促进大鼠上颌骨快速扩弓成骨作用机制的研究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威海市立医院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朱海燕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2022N-11</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柴胡加龙骨牡蛎汤加减联合古刺针法治疗卒中后失眠痰瘀阻络证临床疗效观察</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威海市中医院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王晓慧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2022N-12</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基于古方的中药塌渍疗法的发掘整理与应用</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威海市立医院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孙彦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2022N-13</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穴位贴敷联合脐灸改善肺癌化疗患者癌因性疲乏的治疗效果</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威海市中医院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周扬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2022N-14</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子午流注指导下脐灸联合四子散热熨对脾胃虚寒型胃脘痛的临床观察</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威海市中医院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刘美丽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2022N-15</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中药活性成分菊苣酸工业级全合成及抗RSV活性研究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山东药品食品职业学院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高源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2022N-16</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消渴升清汤糖尿病体位性低血压及相关性认知功能障碍的研究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威海市立医院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张金彪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2022N-17</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养阴清口含漱方剂与巨和粒稀释含漱液治疗恶性血液病化疗后口腔溃疡的对照研究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威海市立医院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王晓毅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2022N-18</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温胆汤加减治疗创伤患者高血压伴焦虑的临床研究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山东省文登整骨医院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孙忠义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2022N-19</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脐灸联合手法排便技术在骨伤卧床患者便秘中应用效果研究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山东省文登整骨医院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2022N-20</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自拟安神方合用外治法治疗高血压肝阳上亢型伴失眠患者的临床观察</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乳山市中医院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孙鹏飞</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2022N-21</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温胆汤加减治疗脾虚痰阻型女童单纯性乳房早发育的疗效观察</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威海市妇幼保健院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刘迎龙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2022N-22</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羊乳药材活性成分及质量标准研究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山东药品食品职业学院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李振兴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2022N-23</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凤眼草的拉曼光谱检测及分析</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山东药品食品职业学院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邹小丽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2022N-24</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中医手法复位联合经皮椎弓根钉棒系统内固定术治疗胸腰椎骨折</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重点项目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荣成市中医院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王震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2022N-25</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“利筋束骨”法在青少年特发性脊柱侧弯诊疗中的应用研究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山东省文登整骨医院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周佳华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2022N-26</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中药“百部天冬猫爪草桔梗贝母汤 ”加减对菌阳肺结核患者免疫调节临床疗效评估评估</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威海市胸科医院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门玉芝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2022N-27</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改良式无烟铺灸改善脊髓损伤患者腹胀便秘的效果研究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山东省文登整骨医院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朱洪英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2022N-28</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基于日间病房模式下中医集束化护理对慢性萎缩性胃炎患者抑郁干预的效果研究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重点项目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威海市中医院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于红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2022N-29</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“强筋束骨法”治疗颈椎失稳性疾病中的基础研究与临床应用</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重点项目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山东省文登整骨医院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刘  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2022N-30</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基于治未病思想老年髋部骨折围手术期精神障碍与中医体质的相关性研究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山东省文登整骨医院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冯俊菲</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2022N-31</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接骨药丸联合3D打印导板技术在寰枢椎手术中的临床应用研究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山东省文登整骨医院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姜泽威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2022N-32</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基于中医住院医师规范化培训的层级管理模式的研究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威海市中医院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于佳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2022N-33</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Style w:val="7"/>
                <w:bdr w:val="none" w:color="auto" w:sz="0" w:space="0"/>
                <w:lang w:val="en-US" w:eastAsia="zh-CN" w:bidi="ar"/>
              </w:rPr>
              <w:t>中医综合治疗乳腺癌</w:t>
            </w:r>
            <w:r>
              <w:rPr>
                <w:rStyle w:val="8"/>
                <w:bdr w:val="none" w:color="auto" w:sz="0" w:space="0"/>
                <w:lang w:val="en-US" w:eastAsia="zh-CN" w:bidi="ar"/>
              </w:rPr>
              <w:t>化疗所致</w:t>
            </w:r>
            <w:r>
              <w:rPr>
                <w:rStyle w:val="7"/>
                <w:bdr w:val="none" w:color="auto" w:sz="0" w:space="0"/>
                <w:lang w:val="en-US" w:eastAsia="zh-CN" w:bidi="ar"/>
              </w:rPr>
              <w:t>恶心、呕吐的疗效及效益评价</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威海市妇幼保健院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张玲</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2022N-34</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中药材瓦松生物学特性与研究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山东药品食品职业学院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刘福胜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2022N-35</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基于“祛瘀法”多元化治未病方式治疗中青年股骨颈骨折的临床研究及术后发生股骨头坏死的风险预测模型构建</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山东省文登整骨医院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王  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2022N-36</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骨碎补联合羟基磷灰石修复兔大段骨缺损的实验研究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青年项目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山东省文登整骨医院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庞呈祥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2022N-37</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“填精补髓、疏经活络”法为基础防治股骨头坏死的临床应用研究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山东省文登整骨医院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鞠昌军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2022N-38</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基于“筋骨并重”、“治未病”双模理论治疗SandersⅡ型跟骨骨折的有限元分析及临床诊疗体系应用研究</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山东省文登整骨医院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宫大伟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2022N-39</w:t>
            </w:r>
          </w:p>
        </w:tc>
        <w:tc>
          <w:tcPr>
            <w:tcW w:w="834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微创单边双交叉支撑技术结合中医适宜技术疗法治疗踝关节骨折</w:t>
            </w:r>
          </w:p>
        </w:tc>
        <w:tc>
          <w:tcPr>
            <w:tcW w:w="120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面上项目</w:t>
            </w:r>
          </w:p>
        </w:tc>
        <w:tc>
          <w:tcPr>
            <w:tcW w:w="265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山东省文登整骨医院</w:t>
            </w:r>
          </w:p>
        </w:tc>
        <w:tc>
          <w:tcPr>
            <w:tcW w:w="14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于大鹏</w:t>
            </w:r>
          </w:p>
        </w:tc>
      </w:tr>
    </w:tbl>
    <w:p/>
    <w:sectPr>
      <w:pgSz w:w="16838" w:h="11906" w:orient="landscape"/>
      <w:pgMar w:top="567" w:right="567" w:bottom="567" w:left="56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AxZjRkZjY2NzkwYzMwMjdkMzI0MjYzZTYzYzFkZDUifQ=="/>
  </w:docVars>
  <w:rsids>
    <w:rsidRoot w:val="00000000"/>
    <w:rsid w:val="2FE07B7F"/>
    <w:rsid w:val="395762AB"/>
    <w:rsid w:val="45441DB5"/>
    <w:rsid w:val="48E438ED"/>
    <w:rsid w:val="490948F4"/>
    <w:rsid w:val="5F4E2C09"/>
    <w:rsid w:val="7D562F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 w:type="character" w:customStyle="1" w:styleId="5">
    <w:name w:val="font11"/>
    <w:basedOn w:val="4"/>
    <w:uiPriority w:val="0"/>
    <w:rPr>
      <w:rFonts w:ascii="微软雅黑" w:hAnsi="微软雅黑" w:eastAsia="微软雅黑" w:cs="微软雅黑"/>
      <w:color w:val="000000"/>
      <w:sz w:val="24"/>
      <w:szCs w:val="24"/>
      <w:u w:val="none"/>
    </w:rPr>
  </w:style>
  <w:style w:type="character" w:customStyle="1" w:styleId="6">
    <w:name w:val="font21"/>
    <w:basedOn w:val="4"/>
    <w:uiPriority w:val="0"/>
    <w:rPr>
      <w:rFonts w:hint="eastAsia" w:ascii="宋体" w:hAnsi="宋体" w:eastAsia="宋体" w:cs="宋体"/>
      <w:color w:val="000000"/>
      <w:sz w:val="24"/>
      <w:szCs w:val="24"/>
      <w:u w:val="none"/>
    </w:rPr>
  </w:style>
  <w:style w:type="character" w:customStyle="1" w:styleId="7">
    <w:name w:val="font51"/>
    <w:basedOn w:val="4"/>
    <w:uiPriority w:val="0"/>
    <w:rPr>
      <w:rFonts w:hint="eastAsia" w:ascii="宋体" w:hAnsi="宋体" w:eastAsia="宋体" w:cs="宋体"/>
      <w:color w:val="000000"/>
      <w:sz w:val="24"/>
      <w:szCs w:val="24"/>
      <w:u w:val="none"/>
    </w:rPr>
  </w:style>
  <w:style w:type="character" w:customStyle="1" w:styleId="8">
    <w:name w:val="font31"/>
    <w:basedOn w:val="4"/>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2476</Words>
  <Characters>2902</Characters>
  <Lines>0</Lines>
  <Paragraphs>0</Paragraphs>
  <TotalTime>0</TotalTime>
  <ScaleCrop>false</ScaleCrop>
  <LinksUpToDate>false</LinksUpToDate>
  <CharactersWithSpaces>2909</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2022-06-20T02:02:33Z</dcterms:created>
  <dc:creator>Administrator</dc:creator>
  <cp:lastModifiedBy>夏海丹</cp:lastModifiedBy>
  <dcterms:modified xsi:type="dcterms:W3CDTF">2022-06-20T02:13:11Z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F56F8C25CB154BC1B77C7B9148AC54D6</vt:lpwstr>
  </property>
</Properties>
</file>